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4D678">
      <w:pPr>
        <w:pStyle w:val="1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44167DA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多功能自助服务终端技术参数</w:t>
      </w:r>
    </w:p>
    <w:p w14:paraId="190F53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助服务系统作为门诊/住院窗口业务的延伸，应全面支持各类就诊介质就医，除常规的身份证识读之外，还需支持患者通过社保卡、医保电子凭证、电子健康卡、手输身份证号、门诊号条码扫描、医保刷脸等建档登录方式，以充分降低患者的使用门槛，同时满足卫健委、医保局的各项政策要求。自助服务系统应具备挂号、处方缴费、信息查询、报告打印、刷脸无感就医、电子病历打印、清单打印、入院医保登记、住院预交金充值等功能，以涵盖门诊诊前、诊中、诊后、住院院前、院中、院后全流程，达到提升自助就医业务办理效率，优化医院整体就医流程的效果。为了便捷患者对自助设备的使用，系统应充分利用第二屏幕在患者自主办理就医业务时实时展示就医指引、功能操作流程、专家排班、医生介绍等信息，减少患者学习成本。为便捷院方对于自助服务系统软硬件的日常管理，自助服务系统应配备监控平台，实时监控设备耗材、硬件模块运行状态，通过平台或移动端实时展示设备运行状态，并在耗材耗尽或模块故障时，及时通知运维人员。平台记录设备运行信息的同时，支持统计各类业务办理数据，方便院方全面掌握设备使用情况，相关报表支持导出功能，自助服务系统及配套监控平台功能配置要求如下：</w:t>
      </w:r>
    </w:p>
    <w:p w14:paraId="7314DE35">
      <w:pPr>
        <w:pStyle w:val="2"/>
        <w:rPr>
          <w:rFonts w:hint="eastAsia" w:ascii="仿宋_GB2312" w:hAnsi="仿宋_GB2312" w:eastAsia="仿宋_GB2312" w:cs="仿宋_GB2312"/>
          <w:sz w:val="32"/>
          <w:szCs w:val="32"/>
        </w:rPr>
      </w:pPr>
    </w:p>
    <w:p w14:paraId="33D90395">
      <w:pPr>
        <w:rPr>
          <w:rFonts w:hint="eastAsia"/>
        </w:rPr>
      </w:pPr>
    </w:p>
    <w:tbl>
      <w:tblPr>
        <w:tblStyle w:val="12"/>
        <w:tblpPr w:leftFromText="180" w:rightFromText="180" w:vertAnchor="text" w:horzAnchor="page" w:tblpX="1333" w:tblpY="610"/>
        <w:tblOverlap w:val="never"/>
        <w:tblW w:w="9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7375"/>
      </w:tblGrid>
      <w:tr w14:paraId="5759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47B5B427">
            <w:pPr>
              <w:spacing w:line="360" w:lineRule="auto"/>
            </w:pPr>
            <w:r>
              <w:rPr>
                <w:rFonts w:hint="eastAsia"/>
              </w:rPr>
              <w:t>身份证建档</w:t>
            </w:r>
          </w:p>
        </w:tc>
        <w:tc>
          <w:tcPr>
            <w:tcW w:w="7375" w:type="dxa"/>
            <w:tcBorders>
              <w:top w:val="single" w:color="auto" w:sz="4" w:space="0"/>
              <w:left w:val="single" w:color="auto" w:sz="4" w:space="0"/>
              <w:bottom w:val="single" w:color="auto" w:sz="4" w:space="0"/>
              <w:right w:val="single" w:color="auto" w:sz="4" w:space="0"/>
            </w:tcBorders>
          </w:tcPr>
          <w:p w14:paraId="33EDD5E8">
            <w:pPr>
              <w:spacing w:line="360" w:lineRule="auto"/>
              <w:rPr>
                <w:b w:val="0"/>
                <w:bCs w:val="0"/>
              </w:rPr>
            </w:pPr>
            <w:r>
              <w:rPr>
                <w:rFonts w:hint="eastAsia"/>
                <w:b w:val="0"/>
                <w:bCs w:val="0"/>
              </w:rPr>
              <w:t>支持患者通过身份证在自助机上建立院内账户，建立的账户要同患者的身份证号、住址、手机号等信息相关联；</w:t>
            </w:r>
          </w:p>
        </w:tc>
      </w:tr>
      <w:tr w14:paraId="3B68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120C1771">
            <w:pPr>
              <w:spacing w:line="360" w:lineRule="auto"/>
            </w:pPr>
            <w:r>
              <w:rPr>
                <w:rFonts w:hint="eastAsia"/>
              </w:rPr>
              <w:t>电子健康卡建档</w:t>
            </w:r>
          </w:p>
        </w:tc>
        <w:tc>
          <w:tcPr>
            <w:tcW w:w="7375" w:type="dxa"/>
            <w:tcBorders>
              <w:top w:val="single" w:color="auto" w:sz="4" w:space="0"/>
              <w:left w:val="single" w:color="auto" w:sz="4" w:space="0"/>
              <w:bottom w:val="single" w:color="auto" w:sz="4" w:space="0"/>
              <w:right w:val="single" w:color="auto" w:sz="4" w:space="0"/>
            </w:tcBorders>
          </w:tcPr>
          <w:p w14:paraId="18CF06A5">
            <w:pPr>
              <w:spacing w:line="360" w:lineRule="auto"/>
              <w:rPr>
                <w:b w:val="0"/>
                <w:bCs w:val="0"/>
              </w:rPr>
            </w:pPr>
            <w:r>
              <w:rPr>
                <w:rFonts w:hint="eastAsia"/>
                <w:b w:val="0"/>
                <w:bCs w:val="0"/>
              </w:rPr>
              <w:t>支持患者使用居民电子健康卡在自助机上建立院内账户，建立的账户要同患者的身份证号、住址、手机号等信息相关联；</w:t>
            </w:r>
          </w:p>
        </w:tc>
      </w:tr>
      <w:tr w14:paraId="4FD0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3EA16392">
            <w:pPr>
              <w:spacing w:line="360" w:lineRule="auto"/>
            </w:pPr>
            <w:r>
              <w:rPr>
                <w:rFonts w:hint="eastAsia"/>
              </w:rPr>
              <w:t>医保电子凭证</w:t>
            </w:r>
          </w:p>
        </w:tc>
        <w:tc>
          <w:tcPr>
            <w:tcW w:w="7375" w:type="dxa"/>
            <w:tcBorders>
              <w:top w:val="single" w:color="auto" w:sz="4" w:space="0"/>
              <w:left w:val="single" w:color="auto" w:sz="4" w:space="0"/>
              <w:bottom w:val="single" w:color="auto" w:sz="4" w:space="0"/>
              <w:right w:val="single" w:color="auto" w:sz="4" w:space="0"/>
            </w:tcBorders>
          </w:tcPr>
          <w:p w14:paraId="0732A9A5">
            <w:pPr>
              <w:spacing w:line="360" w:lineRule="auto"/>
              <w:rPr>
                <w:b w:val="0"/>
                <w:bCs w:val="0"/>
              </w:rPr>
            </w:pPr>
            <w:r>
              <w:rPr>
                <w:rFonts w:hint="eastAsia"/>
                <w:b w:val="0"/>
                <w:bCs w:val="0"/>
              </w:rPr>
              <w:t>支持患者通过医保电子凭证在自助机上建立院内账户，建立的账户要同患者的身份证号、住址、手机号等信息相关联；</w:t>
            </w:r>
          </w:p>
        </w:tc>
      </w:tr>
      <w:tr w14:paraId="7396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58B568D5">
            <w:pPr>
              <w:spacing w:line="360" w:lineRule="auto"/>
            </w:pPr>
            <w:r>
              <w:rPr>
                <w:rFonts w:hint="eastAsia"/>
              </w:rPr>
              <w:t>人脸建档</w:t>
            </w:r>
          </w:p>
        </w:tc>
        <w:tc>
          <w:tcPr>
            <w:tcW w:w="7375" w:type="dxa"/>
            <w:tcBorders>
              <w:top w:val="single" w:color="auto" w:sz="4" w:space="0"/>
              <w:left w:val="single" w:color="auto" w:sz="4" w:space="0"/>
              <w:bottom w:val="single" w:color="auto" w:sz="4" w:space="0"/>
              <w:right w:val="single" w:color="auto" w:sz="4" w:space="0"/>
            </w:tcBorders>
          </w:tcPr>
          <w:p w14:paraId="79E3C6EB">
            <w:pPr>
              <w:spacing w:line="360" w:lineRule="auto"/>
              <w:rPr>
                <w:b w:val="0"/>
                <w:bCs w:val="0"/>
              </w:rPr>
            </w:pPr>
            <w:r>
              <w:rPr>
                <w:rFonts w:hint="eastAsia"/>
                <w:b w:val="0"/>
                <w:bCs w:val="0"/>
              </w:rPr>
              <w:t>支持患者使用人脸在自助机上获取实名信息建立院内账户，建立的账户要同患者的身份证号、住址、手机号等信息相关联；</w:t>
            </w:r>
          </w:p>
          <w:p w14:paraId="3B79F517">
            <w:pPr>
              <w:spacing w:line="360" w:lineRule="auto"/>
              <w:rPr>
                <w:b w:val="0"/>
                <w:bCs w:val="0"/>
              </w:rPr>
            </w:pPr>
            <w:r>
              <w:rPr>
                <w:rFonts w:hint="eastAsia"/>
                <w:b w:val="0"/>
                <w:bCs w:val="0"/>
              </w:rPr>
              <w:t>自助服务系统支持医保刷脸建档功能，提供设备刷脸模块照片及软件截图；</w:t>
            </w:r>
          </w:p>
        </w:tc>
      </w:tr>
      <w:tr w14:paraId="19DD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9B108D8">
            <w:pPr>
              <w:spacing w:line="360" w:lineRule="auto"/>
            </w:pPr>
            <w:r>
              <w:rPr>
                <w:rFonts w:hint="eastAsia"/>
              </w:rPr>
              <w:t>外国人永久居留身份证建档</w:t>
            </w:r>
          </w:p>
        </w:tc>
        <w:tc>
          <w:tcPr>
            <w:tcW w:w="7375" w:type="dxa"/>
            <w:tcBorders>
              <w:top w:val="single" w:color="auto" w:sz="4" w:space="0"/>
              <w:left w:val="single" w:color="auto" w:sz="4" w:space="0"/>
              <w:bottom w:val="single" w:color="auto" w:sz="4" w:space="0"/>
              <w:right w:val="single" w:color="auto" w:sz="4" w:space="0"/>
            </w:tcBorders>
          </w:tcPr>
          <w:p w14:paraId="6F3C9575">
            <w:pPr>
              <w:spacing w:line="360" w:lineRule="auto"/>
              <w:rPr>
                <w:b w:val="0"/>
                <w:bCs w:val="0"/>
              </w:rPr>
            </w:pPr>
            <w:r>
              <w:rPr>
                <w:rFonts w:hint="eastAsia"/>
                <w:b w:val="0"/>
                <w:bCs w:val="0"/>
              </w:rPr>
              <w:t>支持患者通过外国人永久居留身份证在自助机上建立院内账户，建立的账户要同患者的身份证号、住址、手机号等信息相关联；</w:t>
            </w:r>
          </w:p>
          <w:p w14:paraId="652DA87A">
            <w:pPr>
              <w:spacing w:line="360" w:lineRule="auto"/>
              <w:rPr>
                <w:b w:val="0"/>
                <w:bCs w:val="0"/>
              </w:rPr>
            </w:pPr>
            <w:r>
              <w:rPr>
                <w:rFonts w:hint="eastAsia"/>
                <w:b w:val="0"/>
                <w:bCs w:val="0"/>
              </w:rPr>
              <w:t>自助服务系统支持外国人永久居留身份证建档功能，提供相关软件截图；</w:t>
            </w:r>
          </w:p>
        </w:tc>
      </w:tr>
      <w:tr w14:paraId="6998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8602D57">
            <w:pPr>
              <w:spacing w:line="360" w:lineRule="auto"/>
            </w:pPr>
            <w:r>
              <w:rPr>
                <w:rFonts w:hint="eastAsia"/>
              </w:rPr>
              <w:t>身份证登录</w:t>
            </w:r>
          </w:p>
        </w:tc>
        <w:tc>
          <w:tcPr>
            <w:tcW w:w="7375" w:type="dxa"/>
            <w:tcBorders>
              <w:top w:val="single" w:color="auto" w:sz="4" w:space="0"/>
              <w:left w:val="single" w:color="auto" w:sz="4" w:space="0"/>
              <w:bottom w:val="single" w:color="auto" w:sz="4" w:space="0"/>
              <w:right w:val="single" w:color="auto" w:sz="4" w:space="0"/>
            </w:tcBorders>
          </w:tcPr>
          <w:p w14:paraId="71D6B387">
            <w:pPr>
              <w:spacing w:line="360" w:lineRule="auto"/>
              <w:rPr>
                <w:b w:val="0"/>
                <w:bCs w:val="0"/>
              </w:rPr>
            </w:pPr>
            <w:r>
              <w:rPr>
                <w:rFonts w:hint="eastAsia"/>
                <w:b w:val="0"/>
                <w:bCs w:val="0"/>
              </w:rPr>
              <w:t>患者可通过身份证在自助机上登录院内账户，从而进行后续就诊；</w:t>
            </w:r>
          </w:p>
        </w:tc>
      </w:tr>
      <w:tr w14:paraId="7876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3FDBE9D5">
            <w:pPr>
              <w:spacing w:line="360" w:lineRule="auto"/>
            </w:pPr>
            <w:r>
              <w:rPr>
                <w:rFonts w:hint="eastAsia"/>
              </w:rPr>
              <w:t>健康卡登录</w:t>
            </w:r>
          </w:p>
        </w:tc>
        <w:tc>
          <w:tcPr>
            <w:tcW w:w="7375" w:type="dxa"/>
            <w:tcBorders>
              <w:top w:val="single" w:color="auto" w:sz="4" w:space="0"/>
              <w:left w:val="single" w:color="auto" w:sz="4" w:space="0"/>
              <w:bottom w:val="single" w:color="auto" w:sz="4" w:space="0"/>
              <w:right w:val="single" w:color="auto" w:sz="4" w:space="0"/>
            </w:tcBorders>
          </w:tcPr>
          <w:p w14:paraId="2D23CBCE">
            <w:pPr>
              <w:spacing w:line="360" w:lineRule="auto"/>
              <w:rPr>
                <w:b w:val="0"/>
                <w:bCs w:val="0"/>
              </w:rPr>
            </w:pPr>
            <w:r>
              <w:rPr>
                <w:rFonts w:hint="eastAsia"/>
                <w:b w:val="0"/>
                <w:bCs w:val="0"/>
              </w:rPr>
              <w:t>患者可通过健康卡在自助机上登录院内账户，从而进行后续就诊；</w:t>
            </w:r>
          </w:p>
        </w:tc>
      </w:tr>
      <w:tr w14:paraId="0F72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1665C29B">
            <w:pPr>
              <w:spacing w:line="360" w:lineRule="auto"/>
            </w:pPr>
            <w:r>
              <w:rPr>
                <w:rFonts w:hint="eastAsia"/>
              </w:rPr>
              <w:t>医保电子凭证</w:t>
            </w:r>
          </w:p>
        </w:tc>
        <w:tc>
          <w:tcPr>
            <w:tcW w:w="7375" w:type="dxa"/>
            <w:tcBorders>
              <w:top w:val="single" w:color="auto" w:sz="4" w:space="0"/>
              <w:left w:val="single" w:color="auto" w:sz="4" w:space="0"/>
              <w:bottom w:val="single" w:color="auto" w:sz="4" w:space="0"/>
              <w:right w:val="single" w:color="auto" w:sz="4" w:space="0"/>
            </w:tcBorders>
          </w:tcPr>
          <w:p w14:paraId="72A70D8F">
            <w:pPr>
              <w:spacing w:line="360" w:lineRule="auto"/>
              <w:rPr>
                <w:b w:val="0"/>
                <w:bCs w:val="0"/>
              </w:rPr>
            </w:pPr>
            <w:r>
              <w:rPr>
                <w:rFonts w:hint="eastAsia"/>
                <w:b w:val="0"/>
                <w:bCs w:val="0"/>
              </w:rPr>
              <w:t>患者可通过医保电子凭证在自助机上登录院内账户，从而进行后续就诊；</w:t>
            </w:r>
          </w:p>
        </w:tc>
      </w:tr>
      <w:tr w14:paraId="6E23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5E2EDB7E">
            <w:pPr>
              <w:spacing w:line="360" w:lineRule="auto"/>
            </w:pPr>
            <w:r>
              <w:rPr>
                <w:rFonts w:hint="eastAsia"/>
              </w:rPr>
              <w:t>人脸登录</w:t>
            </w:r>
          </w:p>
        </w:tc>
        <w:tc>
          <w:tcPr>
            <w:tcW w:w="7375" w:type="dxa"/>
            <w:tcBorders>
              <w:top w:val="single" w:color="auto" w:sz="4" w:space="0"/>
              <w:left w:val="single" w:color="auto" w:sz="4" w:space="0"/>
              <w:bottom w:val="single" w:color="auto" w:sz="4" w:space="0"/>
              <w:right w:val="single" w:color="auto" w:sz="4" w:space="0"/>
            </w:tcBorders>
          </w:tcPr>
          <w:p w14:paraId="0519699C">
            <w:pPr>
              <w:spacing w:line="360" w:lineRule="auto"/>
              <w:rPr>
                <w:b w:val="0"/>
                <w:bCs w:val="0"/>
              </w:rPr>
            </w:pPr>
            <w:r>
              <w:rPr>
                <w:rFonts w:hint="eastAsia"/>
                <w:b w:val="0"/>
                <w:bCs w:val="0"/>
              </w:rPr>
              <w:t>患者可通过扫描人脸在自助机上登录院内账户，从而进行后续就诊；</w:t>
            </w:r>
          </w:p>
        </w:tc>
      </w:tr>
      <w:tr w14:paraId="0DC7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358ED641">
            <w:pPr>
              <w:spacing w:line="360" w:lineRule="auto"/>
            </w:pPr>
            <w:r>
              <w:rPr>
                <w:rFonts w:hint="eastAsia"/>
              </w:rPr>
              <w:t>外国人永久居留身份证登录</w:t>
            </w:r>
          </w:p>
        </w:tc>
        <w:tc>
          <w:tcPr>
            <w:tcW w:w="7375" w:type="dxa"/>
            <w:tcBorders>
              <w:top w:val="single" w:color="auto" w:sz="4" w:space="0"/>
              <w:left w:val="single" w:color="auto" w:sz="4" w:space="0"/>
              <w:bottom w:val="single" w:color="auto" w:sz="4" w:space="0"/>
              <w:right w:val="single" w:color="auto" w:sz="4" w:space="0"/>
            </w:tcBorders>
          </w:tcPr>
          <w:p w14:paraId="020773CC">
            <w:pPr>
              <w:spacing w:line="360" w:lineRule="auto"/>
              <w:rPr>
                <w:b w:val="0"/>
                <w:bCs w:val="0"/>
              </w:rPr>
            </w:pPr>
            <w:r>
              <w:rPr>
                <w:rFonts w:hint="eastAsia"/>
                <w:b w:val="0"/>
                <w:bCs w:val="0"/>
              </w:rPr>
              <w:t>患者可通过外国人永久居留身份证在自助机上登录院内账户，从而进行后续就诊；</w:t>
            </w:r>
          </w:p>
        </w:tc>
      </w:tr>
      <w:tr w14:paraId="5816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0EAA3DCA">
            <w:pPr>
              <w:spacing w:line="360" w:lineRule="auto"/>
            </w:pPr>
            <w:r>
              <w:rPr>
                <w:rFonts w:hint="eastAsia"/>
              </w:rPr>
              <w:t>微信扫码缴费</w:t>
            </w:r>
          </w:p>
        </w:tc>
        <w:tc>
          <w:tcPr>
            <w:tcW w:w="7375" w:type="dxa"/>
            <w:tcBorders>
              <w:top w:val="single" w:color="auto" w:sz="4" w:space="0"/>
              <w:left w:val="single" w:color="auto" w:sz="4" w:space="0"/>
              <w:bottom w:val="single" w:color="auto" w:sz="4" w:space="0"/>
              <w:right w:val="single" w:color="auto" w:sz="4" w:space="0"/>
            </w:tcBorders>
          </w:tcPr>
          <w:p w14:paraId="652B2316">
            <w:pPr>
              <w:spacing w:line="360" w:lineRule="auto"/>
              <w:rPr>
                <w:b w:val="0"/>
                <w:bCs w:val="0"/>
              </w:rPr>
            </w:pPr>
            <w:r>
              <w:rPr>
                <w:rFonts w:hint="eastAsia"/>
                <w:b w:val="0"/>
                <w:bCs w:val="0"/>
              </w:rPr>
              <w:t>患者可通过扫描自助机屏幕微信收款码的方式完成挂号及处方费用等自费费用的缴纳；</w:t>
            </w:r>
          </w:p>
        </w:tc>
      </w:tr>
      <w:tr w14:paraId="537E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7C301584">
            <w:pPr>
              <w:spacing w:line="360" w:lineRule="auto"/>
            </w:pPr>
            <w:r>
              <w:rPr>
                <w:rFonts w:hint="eastAsia"/>
              </w:rPr>
              <w:t>支付宝扫码缴费</w:t>
            </w:r>
          </w:p>
        </w:tc>
        <w:tc>
          <w:tcPr>
            <w:tcW w:w="7375" w:type="dxa"/>
            <w:tcBorders>
              <w:top w:val="single" w:color="auto" w:sz="4" w:space="0"/>
              <w:left w:val="single" w:color="auto" w:sz="4" w:space="0"/>
              <w:bottom w:val="single" w:color="auto" w:sz="4" w:space="0"/>
              <w:right w:val="single" w:color="auto" w:sz="4" w:space="0"/>
            </w:tcBorders>
          </w:tcPr>
          <w:p w14:paraId="4694C6E4">
            <w:pPr>
              <w:spacing w:line="360" w:lineRule="auto"/>
              <w:rPr>
                <w:b w:val="0"/>
                <w:bCs w:val="0"/>
              </w:rPr>
            </w:pPr>
            <w:r>
              <w:rPr>
                <w:rFonts w:hint="eastAsia"/>
                <w:b w:val="0"/>
                <w:bCs w:val="0"/>
              </w:rPr>
              <w:t>患者可通过扫描自助机屏幕支付宝收款码的方式完成挂号及处方费用等自费费用的缴纳；</w:t>
            </w:r>
          </w:p>
        </w:tc>
      </w:tr>
      <w:tr w14:paraId="2F2C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457946FB">
            <w:pPr>
              <w:spacing w:line="360" w:lineRule="auto"/>
            </w:pPr>
            <w:r>
              <w:rPr>
                <w:rFonts w:hint="eastAsia"/>
              </w:rPr>
              <w:t>医保电子凭证缴费</w:t>
            </w:r>
          </w:p>
        </w:tc>
        <w:tc>
          <w:tcPr>
            <w:tcW w:w="7375" w:type="dxa"/>
            <w:tcBorders>
              <w:top w:val="single" w:color="auto" w:sz="4" w:space="0"/>
              <w:left w:val="single" w:color="auto" w:sz="4" w:space="0"/>
              <w:bottom w:val="single" w:color="auto" w:sz="4" w:space="0"/>
              <w:right w:val="single" w:color="auto" w:sz="4" w:space="0"/>
            </w:tcBorders>
          </w:tcPr>
          <w:p w14:paraId="2FA76162">
            <w:pPr>
              <w:spacing w:line="360" w:lineRule="auto"/>
              <w:rPr>
                <w:b w:val="0"/>
                <w:bCs w:val="0"/>
              </w:rPr>
            </w:pPr>
            <w:r>
              <w:rPr>
                <w:rFonts w:hint="eastAsia"/>
                <w:b w:val="0"/>
                <w:bCs w:val="0"/>
              </w:rPr>
              <w:t>患者可通过自助机扫码枪，扫描医保电子凭证，完成处方等费用的医保缴纳；</w:t>
            </w:r>
          </w:p>
        </w:tc>
      </w:tr>
      <w:tr w14:paraId="0BEE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3C3591E5">
            <w:pPr>
              <w:spacing w:line="360" w:lineRule="auto"/>
            </w:pPr>
            <w:r>
              <w:rPr>
                <w:rFonts w:hint="eastAsia"/>
              </w:rPr>
              <w:t>实体医保卡缴费</w:t>
            </w:r>
          </w:p>
        </w:tc>
        <w:tc>
          <w:tcPr>
            <w:tcW w:w="7375" w:type="dxa"/>
            <w:tcBorders>
              <w:top w:val="single" w:color="auto" w:sz="4" w:space="0"/>
              <w:left w:val="single" w:color="auto" w:sz="4" w:space="0"/>
              <w:bottom w:val="single" w:color="auto" w:sz="4" w:space="0"/>
              <w:right w:val="single" w:color="auto" w:sz="4" w:space="0"/>
            </w:tcBorders>
          </w:tcPr>
          <w:p w14:paraId="5857FC02">
            <w:pPr>
              <w:spacing w:line="360" w:lineRule="auto"/>
              <w:rPr>
                <w:b w:val="0"/>
                <w:bCs w:val="0"/>
              </w:rPr>
            </w:pPr>
            <w:r>
              <w:rPr>
                <w:rFonts w:hint="eastAsia"/>
                <w:b w:val="0"/>
                <w:bCs w:val="0"/>
              </w:rPr>
              <w:t>患者可通过实体医保卡在自助机上完成处方等费用的医保缴纳；</w:t>
            </w:r>
          </w:p>
          <w:p w14:paraId="625076CD">
            <w:pPr>
              <w:spacing w:line="360" w:lineRule="auto"/>
              <w:rPr>
                <w:b w:val="0"/>
                <w:bCs w:val="0"/>
              </w:rPr>
            </w:pPr>
            <w:r>
              <w:rPr>
                <w:rFonts w:hint="eastAsia"/>
                <w:b w:val="0"/>
                <w:bCs w:val="0"/>
              </w:rPr>
              <w:t>支持云南省实体医保卡及电子凭证识读及结算，提供相应证明文件，包括不限于云南省智慧医保通用医保读卡测试程序cardtestpro支持该型号设备的截图。</w:t>
            </w:r>
          </w:p>
        </w:tc>
      </w:tr>
      <w:tr w14:paraId="319D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5E7483CC">
            <w:pPr>
              <w:spacing w:line="360" w:lineRule="auto"/>
            </w:pPr>
            <w:r>
              <w:rPr>
                <w:rFonts w:hint="eastAsia"/>
              </w:rPr>
              <w:t>医保组合支付</w:t>
            </w:r>
          </w:p>
        </w:tc>
        <w:tc>
          <w:tcPr>
            <w:tcW w:w="7375" w:type="dxa"/>
            <w:tcBorders>
              <w:top w:val="single" w:color="auto" w:sz="4" w:space="0"/>
              <w:left w:val="single" w:color="auto" w:sz="4" w:space="0"/>
              <w:bottom w:val="single" w:color="auto" w:sz="4" w:space="0"/>
              <w:right w:val="single" w:color="auto" w:sz="4" w:space="0"/>
            </w:tcBorders>
          </w:tcPr>
          <w:p w14:paraId="1C5DFB0D">
            <w:pPr>
              <w:spacing w:line="360" w:lineRule="auto"/>
              <w:rPr>
                <w:b w:val="0"/>
                <w:bCs w:val="0"/>
              </w:rPr>
            </w:pPr>
            <w:r>
              <w:rPr>
                <w:rFonts w:hint="eastAsia"/>
                <w:b w:val="0"/>
                <w:bCs w:val="0"/>
              </w:rPr>
              <w:t>在进行医保个账支付的同时，可实现统筹账户报销，患者个人账户余额不足时，剩余部分可通过自费方式缴纳；</w:t>
            </w:r>
          </w:p>
        </w:tc>
      </w:tr>
      <w:tr w14:paraId="644F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2862793D">
            <w:pPr>
              <w:spacing w:line="360" w:lineRule="auto"/>
            </w:pPr>
            <w:r>
              <w:rPr>
                <w:rFonts w:hint="eastAsia"/>
              </w:rPr>
              <w:t>特慢病报销</w:t>
            </w:r>
          </w:p>
        </w:tc>
        <w:tc>
          <w:tcPr>
            <w:tcW w:w="7375" w:type="dxa"/>
            <w:tcBorders>
              <w:top w:val="single" w:color="auto" w:sz="4" w:space="0"/>
              <w:left w:val="single" w:color="auto" w:sz="4" w:space="0"/>
              <w:bottom w:val="single" w:color="auto" w:sz="4" w:space="0"/>
              <w:right w:val="single" w:color="auto" w:sz="4" w:space="0"/>
            </w:tcBorders>
          </w:tcPr>
          <w:p w14:paraId="1D3368BD">
            <w:pPr>
              <w:spacing w:line="360" w:lineRule="auto"/>
              <w:rPr>
                <w:b w:val="0"/>
                <w:bCs w:val="0"/>
              </w:rPr>
            </w:pPr>
            <w:r>
              <w:rPr>
                <w:rFonts w:hint="eastAsia"/>
                <w:b w:val="0"/>
                <w:bCs w:val="0"/>
              </w:rPr>
              <w:t>可通过自助服务系统完成特慢病按病种的报销功能；</w:t>
            </w:r>
          </w:p>
        </w:tc>
      </w:tr>
      <w:tr w14:paraId="3DF2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78B7564">
            <w:pPr>
              <w:spacing w:line="360" w:lineRule="auto"/>
            </w:pPr>
            <w:r>
              <w:rPr>
                <w:rFonts w:hint="eastAsia"/>
              </w:rPr>
              <w:t>微信刷脸缴费</w:t>
            </w:r>
          </w:p>
        </w:tc>
        <w:tc>
          <w:tcPr>
            <w:tcW w:w="7375" w:type="dxa"/>
            <w:tcBorders>
              <w:top w:val="single" w:color="auto" w:sz="4" w:space="0"/>
              <w:left w:val="single" w:color="auto" w:sz="4" w:space="0"/>
              <w:bottom w:val="single" w:color="auto" w:sz="4" w:space="0"/>
              <w:right w:val="single" w:color="auto" w:sz="4" w:space="0"/>
            </w:tcBorders>
          </w:tcPr>
          <w:p w14:paraId="4B86912C">
            <w:pPr>
              <w:spacing w:line="360" w:lineRule="auto"/>
              <w:rPr>
                <w:b w:val="0"/>
                <w:bCs w:val="0"/>
              </w:rPr>
            </w:pPr>
            <w:r>
              <w:rPr>
                <w:rFonts w:hint="eastAsia"/>
                <w:b w:val="0"/>
                <w:bCs w:val="0"/>
              </w:rPr>
              <w:t>患者可微信刷脸的方式完成挂号及处方费用等自费费用的缴纳；</w:t>
            </w:r>
          </w:p>
        </w:tc>
      </w:tr>
      <w:tr w14:paraId="50EC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58AC7E8C">
            <w:pPr>
              <w:spacing w:line="360" w:lineRule="auto"/>
            </w:pPr>
            <w:r>
              <w:rPr>
                <w:rFonts w:hint="eastAsia"/>
              </w:rPr>
              <w:t>支付宝刷脸缴费</w:t>
            </w:r>
          </w:p>
        </w:tc>
        <w:tc>
          <w:tcPr>
            <w:tcW w:w="7375" w:type="dxa"/>
            <w:tcBorders>
              <w:top w:val="single" w:color="auto" w:sz="4" w:space="0"/>
              <w:left w:val="single" w:color="auto" w:sz="4" w:space="0"/>
              <w:bottom w:val="single" w:color="auto" w:sz="4" w:space="0"/>
              <w:right w:val="single" w:color="auto" w:sz="4" w:space="0"/>
            </w:tcBorders>
          </w:tcPr>
          <w:p w14:paraId="6547DF80">
            <w:pPr>
              <w:spacing w:line="360" w:lineRule="auto"/>
              <w:rPr>
                <w:b w:val="0"/>
                <w:bCs w:val="0"/>
              </w:rPr>
            </w:pPr>
            <w:r>
              <w:rPr>
                <w:rFonts w:hint="eastAsia"/>
                <w:b w:val="0"/>
                <w:bCs w:val="0"/>
              </w:rPr>
              <w:t>患者可支付宝刷脸的方式完成挂号及处方费用等自费费用的缴纳；</w:t>
            </w:r>
          </w:p>
        </w:tc>
      </w:tr>
      <w:tr w14:paraId="0A18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483F730C">
            <w:pPr>
              <w:spacing w:line="360" w:lineRule="auto"/>
            </w:pPr>
            <w:r>
              <w:rPr>
                <w:rFonts w:hint="eastAsia"/>
              </w:rPr>
              <w:t>当日挂号</w:t>
            </w:r>
          </w:p>
        </w:tc>
        <w:tc>
          <w:tcPr>
            <w:tcW w:w="7375" w:type="dxa"/>
            <w:tcBorders>
              <w:top w:val="single" w:color="auto" w:sz="4" w:space="0"/>
              <w:left w:val="single" w:color="auto" w:sz="4" w:space="0"/>
              <w:bottom w:val="single" w:color="auto" w:sz="4" w:space="0"/>
              <w:right w:val="single" w:color="auto" w:sz="4" w:space="0"/>
            </w:tcBorders>
          </w:tcPr>
          <w:p w14:paraId="77161CDA">
            <w:pPr>
              <w:spacing w:line="360" w:lineRule="auto"/>
              <w:rPr>
                <w:b w:val="0"/>
                <w:bCs w:val="0"/>
              </w:rPr>
            </w:pPr>
            <w:r>
              <w:rPr>
                <w:rFonts w:hint="eastAsia"/>
                <w:b w:val="0"/>
                <w:bCs w:val="0"/>
              </w:rPr>
              <w:t>患者可通过自助机完成当日号源的预约；</w:t>
            </w:r>
          </w:p>
        </w:tc>
      </w:tr>
      <w:tr w14:paraId="1630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4A9648F2">
            <w:pPr>
              <w:spacing w:line="360" w:lineRule="auto"/>
            </w:pPr>
            <w:r>
              <w:rPr>
                <w:rFonts w:hint="eastAsia"/>
              </w:rPr>
              <w:t>预约挂号</w:t>
            </w:r>
          </w:p>
        </w:tc>
        <w:tc>
          <w:tcPr>
            <w:tcW w:w="7375" w:type="dxa"/>
            <w:tcBorders>
              <w:top w:val="single" w:color="auto" w:sz="4" w:space="0"/>
              <w:left w:val="single" w:color="auto" w:sz="4" w:space="0"/>
              <w:bottom w:val="single" w:color="auto" w:sz="4" w:space="0"/>
              <w:right w:val="single" w:color="auto" w:sz="4" w:space="0"/>
            </w:tcBorders>
          </w:tcPr>
          <w:p w14:paraId="2F34A3C3">
            <w:pPr>
              <w:spacing w:line="360" w:lineRule="auto"/>
              <w:rPr>
                <w:b w:val="0"/>
                <w:bCs w:val="0"/>
              </w:rPr>
            </w:pPr>
            <w:r>
              <w:rPr>
                <w:rFonts w:hint="eastAsia"/>
                <w:b w:val="0"/>
                <w:bCs w:val="0"/>
              </w:rPr>
              <w:t>可按照医院需求，在自助机上开通一定时间段的号源（如未来七天）供患者在自助机上预约；</w:t>
            </w:r>
          </w:p>
        </w:tc>
      </w:tr>
      <w:tr w14:paraId="680F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2B0CEECE">
            <w:pPr>
              <w:spacing w:line="360" w:lineRule="auto"/>
            </w:pPr>
            <w:r>
              <w:rPr>
                <w:rFonts w:hint="eastAsia"/>
              </w:rPr>
              <w:t>健康卡申领</w:t>
            </w:r>
          </w:p>
        </w:tc>
        <w:tc>
          <w:tcPr>
            <w:tcW w:w="7375" w:type="dxa"/>
            <w:tcBorders>
              <w:top w:val="single" w:color="auto" w:sz="4" w:space="0"/>
              <w:left w:val="single" w:color="auto" w:sz="4" w:space="0"/>
              <w:bottom w:val="single" w:color="auto" w:sz="4" w:space="0"/>
              <w:right w:val="single" w:color="auto" w:sz="4" w:space="0"/>
            </w:tcBorders>
          </w:tcPr>
          <w:p w14:paraId="34709216">
            <w:pPr>
              <w:spacing w:line="360" w:lineRule="auto"/>
              <w:rPr>
                <w:b w:val="0"/>
                <w:bCs w:val="0"/>
              </w:rPr>
            </w:pPr>
            <w:r>
              <w:rPr>
                <w:rFonts w:hint="eastAsia"/>
                <w:b w:val="0"/>
                <w:bCs w:val="0"/>
              </w:rPr>
              <w:t>初到院患者可通过在自助机完成电子健康卡的申领，或者帮助家人完成电子健康卡的申领及绑定；</w:t>
            </w:r>
          </w:p>
          <w:p w14:paraId="2BAC8121">
            <w:pPr>
              <w:spacing w:line="360" w:lineRule="auto"/>
              <w:rPr>
                <w:b w:val="0"/>
                <w:bCs w:val="0"/>
              </w:rPr>
            </w:pPr>
            <w:r>
              <w:rPr>
                <w:rFonts w:hint="eastAsia"/>
                <w:b w:val="0"/>
                <w:bCs w:val="0"/>
              </w:rPr>
              <w:t>提供自助服务系统具备电子健康卡系统接入能力相关证明材料；</w:t>
            </w:r>
          </w:p>
        </w:tc>
      </w:tr>
      <w:tr w14:paraId="6A58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00A403BB">
            <w:pPr>
              <w:spacing w:line="360" w:lineRule="auto"/>
            </w:pPr>
            <w:r>
              <w:rPr>
                <w:rFonts w:hint="eastAsia"/>
              </w:rPr>
              <w:t>药价查询</w:t>
            </w:r>
          </w:p>
        </w:tc>
        <w:tc>
          <w:tcPr>
            <w:tcW w:w="7375" w:type="dxa"/>
            <w:tcBorders>
              <w:top w:val="single" w:color="auto" w:sz="4" w:space="0"/>
              <w:left w:val="single" w:color="auto" w:sz="4" w:space="0"/>
              <w:bottom w:val="single" w:color="auto" w:sz="4" w:space="0"/>
              <w:right w:val="single" w:color="auto" w:sz="4" w:space="0"/>
            </w:tcBorders>
          </w:tcPr>
          <w:p w14:paraId="40F2C884">
            <w:pPr>
              <w:spacing w:line="360" w:lineRule="auto"/>
              <w:rPr>
                <w:b w:val="0"/>
                <w:bCs w:val="0"/>
              </w:rPr>
            </w:pPr>
            <w:r>
              <w:rPr>
                <w:rFonts w:hint="eastAsia"/>
                <w:b w:val="0"/>
                <w:bCs w:val="0"/>
              </w:rPr>
              <w:t>可通过院方信息系统相关接口获取药品费用信息供患者进行查询；</w:t>
            </w:r>
          </w:p>
        </w:tc>
      </w:tr>
      <w:tr w14:paraId="4736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7B5B3E26">
            <w:pPr>
              <w:spacing w:line="360" w:lineRule="auto"/>
            </w:pPr>
            <w:r>
              <w:rPr>
                <w:rFonts w:hint="eastAsia"/>
              </w:rPr>
              <w:t>诊项查询</w:t>
            </w:r>
          </w:p>
        </w:tc>
        <w:tc>
          <w:tcPr>
            <w:tcW w:w="7375" w:type="dxa"/>
            <w:tcBorders>
              <w:top w:val="single" w:color="auto" w:sz="4" w:space="0"/>
              <w:left w:val="single" w:color="auto" w:sz="4" w:space="0"/>
              <w:bottom w:val="single" w:color="auto" w:sz="4" w:space="0"/>
              <w:right w:val="single" w:color="auto" w:sz="4" w:space="0"/>
            </w:tcBorders>
          </w:tcPr>
          <w:p w14:paraId="476ACA79">
            <w:pPr>
              <w:spacing w:line="360" w:lineRule="auto"/>
              <w:rPr>
                <w:b w:val="0"/>
                <w:bCs w:val="0"/>
              </w:rPr>
            </w:pPr>
            <w:r>
              <w:rPr>
                <w:rFonts w:hint="eastAsia"/>
                <w:b w:val="0"/>
                <w:bCs w:val="0"/>
              </w:rPr>
              <w:t>可通过院方信息系统相关接口获取诊项费用信息供患者进行查询；</w:t>
            </w:r>
          </w:p>
        </w:tc>
      </w:tr>
      <w:tr w14:paraId="274E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4BF2A5F7">
            <w:pPr>
              <w:spacing w:line="360" w:lineRule="auto"/>
            </w:pPr>
            <w:r>
              <w:rPr>
                <w:rFonts w:hint="eastAsia"/>
              </w:rPr>
              <w:t>已缴费明细查询</w:t>
            </w:r>
          </w:p>
        </w:tc>
        <w:tc>
          <w:tcPr>
            <w:tcW w:w="7375" w:type="dxa"/>
            <w:tcBorders>
              <w:top w:val="single" w:color="auto" w:sz="4" w:space="0"/>
              <w:left w:val="single" w:color="auto" w:sz="4" w:space="0"/>
              <w:bottom w:val="single" w:color="auto" w:sz="4" w:space="0"/>
              <w:right w:val="single" w:color="auto" w:sz="4" w:space="0"/>
            </w:tcBorders>
          </w:tcPr>
          <w:p w14:paraId="6AC9585F">
            <w:pPr>
              <w:spacing w:line="360" w:lineRule="auto"/>
              <w:rPr>
                <w:b w:val="0"/>
                <w:bCs w:val="0"/>
              </w:rPr>
            </w:pPr>
            <w:r>
              <w:rPr>
                <w:rFonts w:hint="eastAsia"/>
                <w:b w:val="0"/>
                <w:bCs w:val="0"/>
              </w:rPr>
              <w:t>患者可通过自助机查询已缴纳费用的明细；</w:t>
            </w:r>
          </w:p>
        </w:tc>
      </w:tr>
      <w:tr w14:paraId="1F40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17F04A92">
            <w:pPr>
              <w:spacing w:line="360" w:lineRule="auto"/>
            </w:pPr>
            <w:r>
              <w:rPr>
                <w:rFonts w:hint="eastAsia"/>
              </w:rPr>
              <w:t>未缴费明细查询</w:t>
            </w:r>
          </w:p>
        </w:tc>
        <w:tc>
          <w:tcPr>
            <w:tcW w:w="7375" w:type="dxa"/>
            <w:tcBorders>
              <w:top w:val="single" w:color="auto" w:sz="4" w:space="0"/>
              <w:left w:val="single" w:color="auto" w:sz="4" w:space="0"/>
              <w:bottom w:val="single" w:color="auto" w:sz="4" w:space="0"/>
              <w:right w:val="single" w:color="auto" w:sz="4" w:space="0"/>
            </w:tcBorders>
          </w:tcPr>
          <w:p w14:paraId="2679F8EA">
            <w:pPr>
              <w:spacing w:line="360" w:lineRule="auto"/>
              <w:rPr>
                <w:b w:val="0"/>
                <w:bCs w:val="0"/>
              </w:rPr>
            </w:pPr>
            <w:r>
              <w:rPr>
                <w:rFonts w:hint="eastAsia"/>
                <w:b w:val="0"/>
                <w:bCs w:val="0"/>
              </w:rPr>
              <w:t>患者可通过自助机查询本人的未缴费处方信息；</w:t>
            </w:r>
          </w:p>
        </w:tc>
      </w:tr>
      <w:tr w14:paraId="55A7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54AC134D">
            <w:pPr>
              <w:spacing w:line="360" w:lineRule="auto"/>
            </w:pPr>
            <w:r>
              <w:rPr>
                <w:rFonts w:hint="eastAsia"/>
              </w:rPr>
              <w:t>住院日清单查询</w:t>
            </w:r>
          </w:p>
        </w:tc>
        <w:tc>
          <w:tcPr>
            <w:tcW w:w="7375" w:type="dxa"/>
            <w:tcBorders>
              <w:top w:val="single" w:color="auto" w:sz="4" w:space="0"/>
              <w:left w:val="single" w:color="auto" w:sz="4" w:space="0"/>
              <w:bottom w:val="single" w:color="auto" w:sz="4" w:space="0"/>
              <w:right w:val="single" w:color="auto" w:sz="4" w:space="0"/>
            </w:tcBorders>
          </w:tcPr>
          <w:p w14:paraId="4A949D83">
            <w:pPr>
              <w:spacing w:line="360" w:lineRule="auto"/>
            </w:pPr>
            <w:r>
              <w:rPr>
                <w:rFonts w:hint="eastAsia"/>
              </w:rPr>
              <w:t>患者可通过自助机查询住院日清单信息；</w:t>
            </w:r>
          </w:p>
        </w:tc>
      </w:tr>
      <w:tr w14:paraId="4AB2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48EE0665">
            <w:pPr>
              <w:spacing w:line="360" w:lineRule="auto"/>
            </w:pPr>
            <w:r>
              <w:rPr>
                <w:rFonts w:hint="eastAsia"/>
              </w:rPr>
              <w:t>住院清单查询</w:t>
            </w:r>
          </w:p>
        </w:tc>
        <w:tc>
          <w:tcPr>
            <w:tcW w:w="7375" w:type="dxa"/>
            <w:tcBorders>
              <w:top w:val="single" w:color="auto" w:sz="4" w:space="0"/>
              <w:left w:val="single" w:color="auto" w:sz="4" w:space="0"/>
              <w:bottom w:val="single" w:color="auto" w:sz="4" w:space="0"/>
              <w:right w:val="single" w:color="auto" w:sz="4" w:space="0"/>
            </w:tcBorders>
          </w:tcPr>
          <w:p w14:paraId="5AD1F62B">
            <w:pPr>
              <w:spacing w:line="360" w:lineRule="auto"/>
            </w:pPr>
            <w:r>
              <w:rPr>
                <w:rFonts w:hint="eastAsia"/>
              </w:rPr>
              <w:t>患者可通过自助机查询住院发生的所有费用清单信息；</w:t>
            </w:r>
          </w:p>
        </w:tc>
      </w:tr>
      <w:tr w14:paraId="6E5C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4F86BC1">
            <w:pPr>
              <w:spacing w:line="360" w:lineRule="auto"/>
            </w:pPr>
            <w:r>
              <w:rPr>
                <w:rFonts w:hint="eastAsia"/>
              </w:rPr>
              <w:t>住院清单打印</w:t>
            </w:r>
          </w:p>
        </w:tc>
        <w:tc>
          <w:tcPr>
            <w:tcW w:w="7375" w:type="dxa"/>
            <w:tcBorders>
              <w:top w:val="single" w:color="auto" w:sz="4" w:space="0"/>
              <w:left w:val="single" w:color="auto" w:sz="4" w:space="0"/>
              <w:bottom w:val="single" w:color="auto" w:sz="4" w:space="0"/>
              <w:right w:val="single" w:color="auto" w:sz="4" w:space="0"/>
            </w:tcBorders>
            <w:vAlign w:val="center"/>
          </w:tcPr>
          <w:p w14:paraId="38AE8C94">
            <w:pPr>
              <w:spacing w:line="360" w:lineRule="auto"/>
            </w:pPr>
            <w:r>
              <w:rPr>
                <w:rFonts w:hint="eastAsia"/>
              </w:rPr>
              <w:t>患者可通过自助机打印一定时间内的住院费用清单；</w:t>
            </w:r>
          </w:p>
        </w:tc>
      </w:tr>
      <w:tr w14:paraId="1C13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15A5FD7">
            <w:pPr>
              <w:spacing w:line="360" w:lineRule="auto"/>
            </w:pPr>
            <w:r>
              <w:rPr>
                <w:rFonts w:hint="eastAsia"/>
              </w:rPr>
              <w:t>医生/科室介绍</w:t>
            </w:r>
          </w:p>
        </w:tc>
        <w:tc>
          <w:tcPr>
            <w:tcW w:w="7375" w:type="dxa"/>
            <w:tcBorders>
              <w:top w:val="single" w:color="auto" w:sz="4" w:space="0"/>
              <w:left w:val="single" w:color="auto" w:sz="4" w:space="0"/>
              <w:bottom w:val="single" w:color="auto" w:sz="4" w:space="0"/>
              <w:right w:val="single" w:color="auto" w:sz="4" w:space="0"/>
            </w:tcBorders>
          </w:tcPr>
          <w:p w14:paraId="5B88460D">
            <w:pPr>
              <w:spacing w:line="360" w:lineRule="auto"/>
            </w:pPr>
            <w:r>
              <w:rPr>
                <w:rFonts w:hint="eastAsia"/>
              </w:rPr>
              <w:t>患者可通过自助机查询医生/科室介绍信息；</w:t>
            </w:r>
          </w:p>
        </w:tc>
      </w:tr>
      <w:tr w14:paraId="275D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03E30186">
            <w:pPr>
              <w:spacing w:line="360" w:lineRule="auto"/>
            </w:pPr>
            <w:r>
              <w:rPr>
                <w:rFonts w:hint="eastAsia"/>
              </w:rPr>
              <w:t>检验报告打印</w:t>
            </w:r>
          </w:p>
        </w:tc>
        <w:tc>
          <w:tcPr>
            <w:tcW w:w="7375" w:type="dxa"/>
            <w:tcBorders>
              <w:top w:val="single" w:color="auto" w:sz="4" w:space="0"/>
              <w:left w:val="single" w:color="auto" w:sz="4" w:space="0"/>
              <w:bottom w:val="single" w:color="auto" w:sz="4" w:space="0"/>
              <w:right w:val="single" w:color="auto" w:sz="4" w:space="0"/>
            </w:tcBorders>
          </w:tcPr>
          <w:p w14:paraId="10CE3840">
            <w:pPr>
              <w:spacing w:line="360" w:lineRule="auto"/>
            </w:pPr>
            <w:r>
              <w:rPr>
                <w:rFonts w:hint="eastAsia"/>
              </w:rPr>
              <w:t>支持患者通过扫码、居民电子健康卡、身份证等介质在自助设备上打印检验报告；</w:t>
            </w:r>
          </w:p>
        </w:tc>
      </w:tr>
      <w:tr w14:paraId="55C8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0F54FAFF">
            <w:pPr>
              <w:spacing w:line="360" w:lineRule="auto"/>
            </w:pPr>
            <w:r>
              <w:rPr>
                <w:rFonts w:hint="eastAsia"/>
              </w:rPr>
              <w:t>住院登记</w:t>
            </w:r>
          </w:p>
        </w:tc>
        <w:tc>
          <w:tcPr>
            <w:tcW w:w="7375" w:type="dxa"/>
            <w:tcBorders>
              <w:top w:val="single" w:color="auto" w:sz="4" w:space="0"/>
              <w:left w:val="single" w:color="auto" w:sz="4" w:space="0"/>
              <w:bottom w:val="single" w:color="auto" w:sz="4" w:space="0"/>
              <w:right w:val="single" w:color="auto" w:sz="4" w:space="0"/>
            </w:tcBorders>
            <w:vAlign w:val="center"/>
          </w:tcPr>
          <w:p w14:paraId="715B9B34">
            <w:pPr>
              <w:spacing w:line="360" w:lineRule="auto"/>
            </w:pPr>
            <w:r>
              <w:rPr>
                <w:rFonts w:hint="eastAsia"/>
              </w:rPr>
              <w:t>患者可通过自助机完成住院登记；</w:t>
            </w:r>
          </w:p>
        </w:tc>
      </w:tr>
      <w:tr w14:paraId="20F5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3F864F5C">
            <w:pPr>
              <w:spacing w:line="360" w:lineRule="auto"/>
            </w:pPr>
            <w:r>
              <w:rPr>
                <w:rFonts w:hint="eastAsia"/>
              </w:rPr>
              <w:t>住院医保授权</w:t>
            </w:r>
          </w:p>
        </w:tc>
        <w:tc>
          <w:tcPr>
            <w:tcW w:w="7375" w:type="dxa"/>
            <w:tcBorders>
              <w:top w:val="single" w:color="auto" w:sz="4" w:space="0"/>
              <w:left w:val="single" w:color="auto" w:sz="4" w:space="0"/>
              <w:bottom w:val="single" w:color="auto" w:sz="4" w:space="0"/>
              <w:right w:val="single" w:color="auto" w:sz="4" w:space="0"/>
            </w:tcBorders>
            <w:vAlign w:val="center"/>
          </w:tcPr>
          <w:p w14:paraId="35F6A66A">
            <w:pPr>
              <w:spacing w:line="360" w:lineRule="auto"/>
            </w:pPr>
            <w:r>
              <w:rPr>
                <w:rFonts w:hint="eastAsia"/>
              </w:rPr>
              <w:t>患者可通过自助机完成住院医保授权；</w:t>
            </w:r>
          </w:p>
        </w:tc>
      </w:tr>
      <w:tr w14:paraId="3A68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18AE54D8">
            <w:pPr>
              <w:spacing w:line="360" w:lineRule="auto"/>
            </w:pPr>
            <w:r>
              <w:rPr>
                <w:rFonts w:hint="eastAsia"/>
              </w:rPr>
              <w:t>出院结算</w:t>
            </w:r>
          </w:p>
        </w:tc>
        <w:tc>
          <w:tcPr>
            <w:tcW w:w="7375" w:type="dxa"/>
            <w:tcBorders>
              <w:top w:val="single" w:color="auto" w:sz="4" w:space="0"/>
              <w:left w:val="single" w:color="auto" w:sz="4" w:space="0"/>
              <w:bottom w:val="single" w:color="auto" w:sz="4" w:space="0"/>
              <w:right w:val="single" w:color="auto" w:sz="4" w:space="0"/>
            </w:tcBorders>
            <w:vAlign w:val="center"/>
          </w:tcPr>
          <w:p w14:paraId="1D50BED0">
            <w:pPr>
              <w:spacing w:line="360" w:lineRule="auto"/>
            </w:pPr>
            <w:r>
              <w:rPr>
                <w:rFonts w:hint="eastAsia"/>
              </w:rPr>
              <w:t>患者可通过自助机完成出院结算操作；（多退：患者进行出院结算时，若住院预交金仍余额，可在出院结算后按照医院制定的退款规则，将剩余的住院预交金原路退回；少补：患者进行出院结算时，若住院预交金不足，则跳转至预交金充值界面，补足预交金）</w:t>
            </w:r>
          </w:p>
        </w:tc>
      </w:tr>
      <w:tr w14:paraId="2C07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CCC419F">
            <w:pPr>
              <w:spacing w:line="360" w:lineRule="auto"/>
            </w:pPr>
            <w:r>
              <w:rPr>
                <w:rFonts w:hint="eastAsia"/>
              </w:rPr>
              <w:t>双屏联动</w:t>
            </w:r>
          </w:p>
        </w:tc>
        <w:tc>
          <w:tcPr>
            <w:tcW w:w="7375" w:type="dxa"/>
            <w:tcBorders>
              <w:top w:val="single" w:color="auto" w:sz="4" w:space="0"/>
              <w:left w:val="single" w:color="auto" w:sz="4" w:space="0"/>
              <w:bottom w:val="single" w:color="auto" w:sz="4" w:space="0"/>
              <w:right w:val="single" w:color="auto" w:sz="4" w:space="0"/>
            </w:tcBorders>
          </w:tcPr>
          <w:p w14:paraId="68B67FCD">
            <w:pPr>
              <w:spacing w:line="360" w:lineRule="auto"/>
            </w:pPr>
            <w:r>
              <w:rPr>
                <w:rFonts w:hint="eastAsia"/>
              </w:rPr>
              <w:t>自助机主副屏联动，根据患者每一步操作，在自助机副屏实时动态展示操作指引、专家排班、医生简介等指引信息，辅助患者自助办理业务；</w:t>
            </w:r>
          </w:p>
        </w:tc>
      </w:tr>
      <w:tr w14:paraId="492E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79E0718E">
            <w:pPr>
              <w:spacing w:line="360" w:lineRule="auto"/>
            </w:pPr>
            <w:r>
              <w:rPr>
                <w:rFonts w:hint="eastAsia"/>
              </w:rPr>
              <w:t>待办提醒</w:t>
            </w:r>
          </w:p>
        </w:tc>
        <w:tc>
          <w:tcPr>
            <w:tcW w:w="7375" w:type="dxa"/>
            <w:tcBorders>
              <w:top w:val="single" w:color="auto" w:sz="4" w:space="0"/>
              <w:left w:val="single" w:color="auto" w:sz="4" w:space="0"/>
              <w:bottom w:val="single" w:color="auto" w:sz="4" w:space="0"/>
              <w:right w:val="single" w:color="auto" w:sz="4" w:space="0"/>
            </w:tcBorders>
          </w:tcPr>
          <w:p w14:paraId="153F5747">
            <w:pPr>
              <w:spacing w:line="360" w:lineRule="auto"/>
            </w:pPr>
            <w:r>
              <w:rPr>
                <w:rFonts w:hint="eastAsia"/>
              </w:rPr>
              <w:t>系统自动检索患者未完成的各项业务，同步显示在自助界面首页，使患者可以快速进行相关操作，节省业务办理时间；</w:t>
            </w:r>
          </w:p>
        </w:tc>
      </w:tr>
      <w:tr w14:paraId="5AF2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5E7BBE8D">
            <w:pPr>
              <w:spacing w:line="360" w:lineRule="auto"/>
            </w:pPr>
            <w:r>
              <w:rPr>
                <w:rFonts w:hint="eastAsia"/>
              </w:rPr>
              <w:t>个人中心</w:t>
            </w:r>
          </w:p>
        </w:tc>
        <w:tc>
          <w:tcPr>
            <w:tcW w:w="7375" w:type="dxa"/>
            <w:tcBorders>
              <w:top w:val="single" w:color="auto" w:sz="4" w:space="0"/>
              <w:left w:val="single" w:color="auto" w:sz="4" w:space="0"/>
              <w:bottom w:val="single" w:color="auto" w:sz="4" w:space="0"/>
              <w:right w:val="single" w:color="auto" w:sz="4" w:space="0"/>
            </w:tcBorders>
          </w:tcPr>
          <w:p w14:paraId="572E79F9">
            <w:pPr>
              <w:spacing w:line="360" w:lineRule="auto"/>
            </w:pPr>
            <w:r>
              <w:rPr>
                <w:rFonts w:hint="eastAsia"/>
              </w:rPr>
              <w:t>显示患者个人中心，记录患者待办事项、就诊记录等多项功能；</w:t>
            </w:r>
          </w:p>
        </w:tc>
      </w:tr>
      <w:tr w14:paraId="5E22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2499B0B9">
            <w:pPr>
              <w:spacing w:line="360" w:lineRule="auto"/>
            </w:pPr>
            <w:r>
              <w:rPr>
                <w:rFonts w:hint="eastAsia"/>
              </w:rPr>
              <w:t>A4/A5纸监控</w:t>
            </w:r>
          </w:p>
        </w:tc>
        <w:tc>
          <w:tcPr>
            <w:tcW w:w="7375" w:type="dxa"/>
            <w:tcBorders>
              <w:top w:val="single" w:color="auto" w:sz="4" w:space="0"/>
              <w:left w:val="single" w:color="auto" w:sz="4" w:space="0"/>
              <w:bottom w:val="single" w:color="auto" w:sz="4" w:space="0"/>
              <w:right w:val="single" w:color="auto" w:sz="4" w:space="0"/>
            </w:tcBorders>
          </w:tcPr>
          <w:p w14:paraId="7CB4C105">
            <w:pPr>
              <w:spacing w:line="360" w:lineRule="auto"/>
            </w:pPr>
            <w:r>
              <w:rPr>
                <w:rFonts w:hint="eastAsia"/>
              </w:rPr>
              <w:t>可自动检测报告打印机余纸量，并在A4/A5纸即将耗尽时，自动停止报告打印相关功能；</w:t>
            </w:r>
          </w:p>
        </w:tc>
      </w:tr>
      <w:tr w14:paraId="02F4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0C943F8B">
            <w:pPr>
              <w:spacing w:line="360" w:lineRule="auto"/>
            </w:pPr>
            <w:r>
              <w:rPr>
                <w:rFonts w:hint="eastAsia"/>
              </w:rPr>
              <w:t>硒鼓监测</w:t>
            </w:r>
          </w:p>
        </w:tc>
        <w:tc>
          <w:tcPr>
            <w:tcW w:w="7375" w:type="dxa"/>
            <w:tcBorders>
              <w:top w:val="single" w:color="auto" w:sz="4" w:space="0"/>
              <w:left w:val="single" w:color="auto" w:sz="4" w:space="0"/>
              <w:bottom w:val="single" w:color="auto" w:sz="4" w:space="0"/>
              <w:right w:val="single" w:color="auto" w:sz="4" w:space="0"/>
            </w:tcBorders>
          </w:tcPr>
          <w:p w14:paraId="179B7293">
            <w:pPr>
              <w:spacing w:line="360" w:lineRule="auto"/>
            </w:pPr>
            <w:r>
              <w:rPr>
                <w:rFonts w:hint="eastAsia"/>
              </w:rPr>
              <w:t>可自动检测硒鼓余量，并在硒鼓即将耗尽时，自动停止报告打印相关功能；</w:t>
            </w:r>
          </w:p>
        </w:tc>
      </w:tr>
      <w:tr w14:paraId="149D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02CFB4E5">
            <w:pPr>
              <w:spacing w:line="360" w:lineRule="auto"/>
            </w:pPr>
            <w:r>
              <w:rPr>
                <w:rFonts w:hint="eastAsia"/>
              </w:rPr>
              <w:t>凭条打印纸检测</w:t>
            </w:r>
          </w:p>
        </w:tc>
        <w:tc>
          <w:tcPr>
            <w:tcW w:w="7375" w:type="dxa"/>
            <w:tcBorders>
              <w:top w:val="single" w:color="auto" w:sz="4" w:space="0"/>
              <w:left w:val="single" w:color="auto" w:sz="4" w:space="0"/>
              <w:bottom w:val="single" w:color="auto" w:sz="4" w:space="0"/>
              <w:right w:val="single" w:color="auto" w:sz="4" w:space="0"/>
            </w:tcBorders>
          </w:tcPr>
          <w:p w14:paraId="7758C87B">
            <w:pPr>
              <w:spacing w:line="360" w:lineRule="auto"/>
            </w:pPr>
            <w:r>
              <w:rPr>
                <w:rFonts w:hint="eastAsia"/>
              </w:rPr>
              <w:t>可自动检测凭条纸余量，并在凭条打印纸即将耗尽时，自动停止同凭条打印相关的功能；</w:t>
            </w:r>
          </w:p>
        </w:tc>
      </w:tr>
      <w:tr w14:paraId="123F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34362960">
            <w:pPr>
              <w:spacing w:line="360" w:lineRule="auto"/>
            </w:pPr>
            <w:r>
              <w:rPr>
                <w:rFonts w:hint="eastAsia"/>
              </w:rPr>
              <w:t>电控门禁</w:t>
            </w:r>
          </w:p>
        </w:tc>
        <w:tc>
          <w:tcPr>
            <w:tcW w:w="7375" w:type="dxa"/>
            <w:tcBorders>
              <w:top w:val="single" w:color="auto" w:sz="4" w:space="0"/>
              <w:left w:val="single" w:color="auto" w:sz="4" w:space="0"/>
              <w:bottom w:val="single" w:color="auto" w:sz="4" w:space="0"/>
              <w:right w:val="single" w:color="auto" w:sz="4" w:space="0"/>
            </w:tcBorders>
          </w:tcPr>
          <w:p w14:paraId="75C63A8D">
            <w:pPr>
              <w:spacing w:line="360" w:lineRule="auto"/>
            </w:pPr>
            <w:r>
              <w:rPr>
                <w:rFonts w:hint="eastAsia"/>
              </w:rPr>
              <w:t>关键点位门禁控制需要纳入自助服务系统管理模块中，可通过管理界面开关门禁，方便导医人员日常耗材添加及设备运维工作；</w:t>
            </w:r>
          </w:p>
        </w:tc>
      </w:tr>
      <w:tr w14:paraId="2667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A31376B">
            <w:pPr>
              <w:spacing w:line="360" w:lineRule="auto"/>
            </w:pPr>
            <w:r>
              <w:rPr>
                <w:rFonts w:hint="eastAsia"/>
              </w:rPr>
              <w:t>定时开关机</w:t>
            </w:r>
          </w:p>
        </w:tc>
        <w:tc>
          <w:tcPr>
            <w:tcW w:w="7375" w:type="dxa"/>
            <w:tcBorders>
              <w:top w:val="single" w:color="auto" w:sz="4" w:space="0"/>
              <w:left w:val="single" w:color="auto" w:sz="4" w:space="0"/>
              <w:bottom w:val="single" w:color="auto" w:sz="4" w:space="0"/>
              <w:right w:val="single" w:color="auto" w:sz="4" w:space="0"/>
            </w:tcBorders>
          </w:tcPr>
          <w:p w14:paraId="75E85ED8">
            <w:pPr>
              <w:spacing w:line="360" w:lineRule="auto"/>
            </w:pPr>
            <w:r>
              <w:rPr>
                <w:rFonts w:hint="eastAsia"/>
              </w:rPr>
              <w:t>可通过自助机管理软件设置自动开关机时间，以支持院方能源节约的需要；</w:t>
            </w:r>
          </w:p>
        </w:tc>
      </w:tr>
      <w:tr w14:paraId="2E43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73E93C76">
            <w:pPr>
              <w:spacing w:line="360" w:lineRule="auto"/>
            </w:pPr>
            <w:r>
              <w:rPr>
                <w:rFonts w:hint="eastAsia"/>
              </w:rPr>
              <w:t>打印机状态监测</w:t>
            </w:r>
          </w:p>
        </w:tc>
        <w:tc>
          <w:tcPr>
            <w:tcW w:w="7375" w:type="dxa"/>
            <w:tcBorders>
              <w:top w:val="single" w:color="auto" w:sz="4" w:space="0"/>
              <w:left w:val="single" w:color="auto" w:sz="4" w:space="0"/>
              <w:bottom w:val="single" w:color="auto" w:sz="4" w:space="0"/>
              <w:right w:val="single" w:color="auto" w:sz="4" w:space="0"/>
            </w:tcBorders>
          </w:tcPr>
          <w:p w14:paraId="6B03C621">
            <w:pPr>
              <w:spacing w:line="360" w:lineRule="auto"/>
            </w:pPr>
            <w:r>
              <w:rPr>
                <w:rFonts w:hint="eastAsia"/>
              </w:rPr>
              <w:t>支持通过自助打印程序实时监控报告打印机硬件状态，并在打印机故障时，在自助界面弹窗提示人员维护；</w:t>
            </w:r>
          </w:p>
        </w:tc>
      </w:tr>
      <w:tr w14:paraId="600E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02CFAF4B">
            <w:pPr>
              <w:spacing w:line="360" w:lineRule="auto"/>
            </w:pPr>
            <w:r>
              <w:rPr>
                <w:rFonts w:hint="eastAsia"/>
              </w:rPr>
              <w:t>凭条打印机状态监测</w:t>
            </w:r>
          </w:p>
        </w:tc>
        <w:tc>
          <w:tcPr>
            <w:tcW w:w="7375" w:type="dxa"/>
            <w:tcBorders>
              <w:top w:val="single" w:color="auto" w:sz="4" w:space="0"/>
              <w:left w:val="single" w:color="auto" w:sz="4" w:space="0"/>
              <w:bottom w:val="single" w:color="auto" w:sz="4" w:space="0"/>
              <w:right w:val="single" w:color="auto" w:sz="4" w:space="0"/>
            </w:tcBorders>
          </w:tcPr>
          <w:p w14:paraId="439A456D">
            <w:pPr>
              <w:spacing w:line="360" w:lineRule="auto"/>
            </w:pPr>
            <w:r>
              <w:rPr>
                <w:rFonts w:hint="eastAsia"/>
              </w:rPr>
              <w:t>支持通过自助打印程序实时监控凭条打印机硬件状态，并在凭条打印机故障时，在自助界面弹窗提示人员维护；</w:t>
            </w:r>
          </w:p>
        </w:tc>
      </w:tr>
      <w:tr w14:paraId="5B53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5A0C9C58">
            <w:pPr>
              <w:spacing w:line="360" w:lineRule="auto"/>
            </w:pPr>
            <w:r>
              <w:rPr>
                <w:rFonts w:hint="eastAsia"/>
              </w:rPr>
              <w:t>扫码模块状态监测</w:t>
            </w:r>
          </w:p>
        </w:tc>
        <w:tc>
          <w:tcPr>
            <w:tcW w:w="7375" w:type="dxa"/>
            <w:tcBorders>
              <w:top w:val="single" w:color="auto" w:sz="4" w:space="0"/>
              <w:left w:val="single" w:color="auto" w:sz="4" w:space="0"/>
              <w:bottom w:val="single" w:color="auto" w:sz="4" w:space="0"/>
              <w:right w:val="single" w:color="auto" w:sz="4" w:space="0"/>
            </w:tcBorders>
          </w:tcPr>
          <w:p w14:paraId="1AA8EE82">
            <w:pPr>
              <w:spacing w:line="360" w:lineRule="auto"/>
            </w:pPr>
            <w:r>
              <w:rPr>
                <w:rFonts w:hint="eastAsia"/>
              </w:rPr>
              <w:t>支持通过自助打印程序实时监控扫码模块硬件状态，并在扫码模块故障时，在自助界面弹窗提示人员维护；</w:t>
            </w:r>
          </w:p>
        </w:tc>
      </w:tr>
      <w:tr w14:paraId="5A94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DE93E3E">
            <w:pPr>
              <w:spacing w:line="360" w:lineRule="auto"/>
            </w:pPr>
            <w:r>
              <w:rPr>
                <w:rFonts w:hint="eastAsia"/>
              </w:rPr>
              <w:t>身份证阅读模块状态监测</w:t>
            </w:r>
          </w:p>
        </w:tc>
        <w:tc>
          <w:tcPr>
            <w:tcW w:w="7375" w:type="dxa"/>
            <w:tcBorders>
              <w:top w:val="single" w:color="auto" w:sz="4" w:space="0"/>
              <w:left w:val="single" w:color="auto" w:sz="4" w:space="0"/>
              <w:bottom w:val="single" w:color="auto" w:sz="4" w:space="0"/>
              <w:right w:val="single" w:color="auto" w:sz="4" w:space="0"/>
            </w:tcBorders>
          </w:tcPr>
          <w:p w14:paraId="3422B6E1">
            <w:pPr>
              <w:spacing w:line="360" w:lineRule="auto"/>
              <w:rPr>
                <w:b w:val="0"/>
                <w:bCs w:val="0"/>
              </w:rPr>
            </w:pPr>
            <w:r>
              <w:rPr>
                <w:rFonts w:hint="eastAsia"/>
                <w:b w:val="0"/>
                <w:bCs w:val="0"/>
              </w:rPr>
              <w:t>支持通过自助打印程序实时监控身份证阅读模块硬件状态，并在身份证阅读模块故障时，在自助界面弹窗提示人员维护；</w:t>
            </w:r>
          </w:p>
        </w:tc>
      </w:tr>
      <w:tr w14:paraId="270F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4D21D8E7">
            <w:pPr>
              <w:spacing w:line="360" w:lineRule="auto"/>
            </w:pPr>
            <w:r>
              <w:rPr>
                <w:rFonts w:hint="eastAsia"/>
              </w:rPr>
              <w:t>凭条补打</w:t>
            </w:r>
          </w:p>
        </w:tc>
        <w:tc>
          <w:tcPr>
            <w:tcW w:w="7375" w:type="dxa"/>
            <w:tcBorders>
              <w:top w:val="single" w:color="auto" w:sz="4" w:space="0"/>
              <w:left w:val="single" w:color="auto" w:sz="4" w:space="0"/>
              <w:bottom w:val="single" w:color="auto" w:sz="4" w:space="0"/>
              <w:right w:val="single" w:color="auto" w:sz="4" w:space="0"/>
            </w:tcBorders>
          </w:tcPr>
          <w:p w14:paraId="3B701F0B">
            <w:pPr>
              <w:spacing w:line="360" w:lineRule="auto"/>
              <w:rPr>
                <w:b w:val="0"/>
                <w:bCs w:val="0"/>
              </w:rPr>
            </w:pPr>
            <w:r>
              <w:rPr>
                <w:rFonts w:hint="eastAsia"/>
                <w:b w:val="0"/>
                <w:bCs w:val="0"/>
              </w:rPr>
              <w:t>管理人员可登入管理员界面帮助患者补打凭条；</w:t>
            </w:r>
          </w:p>
        </w:tc>
      </w:tr>
      <w:tr w14:paraId="55C9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0C3A988">
            <w:pPr>
              <w:spacing w:line="360" w:lineRule="auto"/>
            </w:pPr>
            <w:r>
              <w:rPr>
                <w:rFonts w:hint="eastAsia"/>
              </w:rPr>
              <w:t>云南省智慧医保集成</w:t>
            </w:r>
          </w:p>
        </w:tc>
        <w:tc>
          <w:tcPr>
            <w:tcW w:w="7375" w:type="dxa"/>
            <w:tcBorders>
              <w:top w:val="single" w:color="auto" w:sz="4" w:space="0"/>
              <w:left w:val="single" w:color="auto" w:sz="4" w:space="0"/>
              <w:bottom w:val="single" w:color="auto" w:sz="4" w:space="0"/>
              <w:right w:val="single" w:color="auto" w:sz="4" w:space="0"/>
            </w:tcBorders>
          </w:tcPr>
          <w:p w14:paraId="4907CC6C">
            <w:pPr>
              <w:spacing w:line="360" w:lineRule="auto"/>
              <w:rPr>
                <w:b w:val="0"/>
                <w:bCs w:val="0"/>
              </w:rPr>
            </w:pPr>
            <w:r>
              <w:rPr>
                <w:rFonts w:hint="eastAsia"/>
                <w:b w:val="0"/>
                <w:bCs w:val="0"/>
              </w:rPr>
              <w:t>系统兼容云南省智慧医保系统，可为第三方系统提供统一的医保相关插件或接口标准实现个人信息获取（身份证号、姓名等基本信息）、参保人信息获取（参保地、个人编码、区域编码）、医保预结算/结算（预结算/结算返回患者个账、统筹、自费部分信息）、冲正/撤销（患者医保缴费撤销）等功能，提供相关截图。</w:t>
            </w:r>
          </w:p>
        </w:tc>
      </w:tr>
      <w:tr w14:paraId="5DFE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6C306F35">
            <w:pPr>
              <w:spacing w:line="360" w:lineRule="auto"/>
            </w:pPr>
            <w:r>
              <w:rPr>
                <w:rFonts w:hint="eastAsia"/>
              </w:rPr>
              <w:t>国产化服务器操作系统兼容</w:t>
            </w:r>
          </w:p>
        </w:tc>
        <w:tc>
          <w:tcPr>
            <w:tcW w:w="7375" w:type="dxa"/>
            <w:tcBorders>
              <w:top w:val="single" w:color="auto" w:sz="4" w:space="0"/>
              <w:left w:val="single" w:color="auto" w:sz="4" w:space="0"/>
              <w:bottom w:val="single" w:color="auto" w:sz="4" w:space="0"/>
              <w:right w:val="single" w:color="auto" w:sz="4" w:space="0"/>
            </w:tcBorders>
          </w:tcPr>
          <w:p w14:paraId="659CFF69">
            <w:pPr>
              <w:spacing w:line="360" w:lineRule="auto"/>
              <w:rPr>
                <w:b w:val="0"/>
                <w:bCs w:val="0"/>
              </w:rPr>
            </w:pPr>
            <w:r>
              <w:rPr>
                <w:rFonts w:hint="eastAsia"/>
                <w:b w:val="0"/>
                <w:bCs w:val="0"/>
              </w:rPr>
              <w:t>为满足医院后续国产化升级替代需求，自助服务系统需同国产化服务器操作系统兼容适配，需提供该系统同国产化服务器操作系统的适配认证证书；</w:t>
            </w:r>
          </w:p>
        </w:tc>
      </w:tr>
      <w:tr w14:paraId="011D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74896151">
            <w:pPr>
              <w:spacing w:line="360" w:lineRule="auto"/>
            </w:pPr>
            <w:r>
              <w:rPr>
                <w:rFonts w:hint="eastAsia"/>
              </w:rPr>
              <w:t>国产化数据库兼容</w:t>
            </w:r>
          </w:p>
        </w:tc>
        <w:tc>
          <w:tcPr>
            <w:tcW w:w="7375" w:type="dxa"/>
            <w:tcBorders>
              <w:top w:val="single" w:color="auto" w:sz="4" w:space="0"/>
              <w:left w:val="single" w:color="auto" w:sz="4" w:space="0"/>
              <w:bottom w:val="single" w:color="auto" w:sz="4" w:space="0"/>
              <w:right w:val="single" w:color="auto" w:sz="4" w:space="0"/>
            </w:tcBorders>
          </w:tcPr>
          <w:p w14:paraId="76EA7CBB">
            <w:pPr>
              <w:spacing w:line="360" w:lineRule="auto"/>
              <w:rPr>
                <w:b w:val="0"/>
                <w:bCs w:val="0"/>
              </w:rPr>
            </w:pPr>
            <w:r>
              <w:rPr>
                <w:rFonts w:hint="eastAsia"/>
                <w:b w:val="0"/>
                <w:bCs w:val="0"/>
              </w:rPr>
              <w:t>为满足医院后续国产化升级替代需求，自助服务系统需同国产化数据库兼容适配，需提供该系统同国产化数据库的适配认证证书；</w:t>
            </w:r>
          </w:p>
        </w:tc>
      </w:tr>
      <w:tr w14:paraId="3F17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3C496EB7">
            <w:pPr>
              <w:spacing w:line="360" w:lineRule="auto"/>
            </w:pPr>
            <w:r>
              <w:rPr>
                <w:rFonts w:hint="eastAsia"/>
              </w:rPr>
              <w:t>配套监控系统</w:t>
            </w:r>
          </w:p>
        </w:tc>
        <w:tc>
          <w:tcPr>
            <w:tcW w:w="7375" w:type="dxa"/>
            <w:tcBorders>
              <w:top w:val="single" w:color="auto" w:sz="4" w:space="0"/>
              <w:left w:val="single" w:color="auto" w:sz="4" w:space="0"/>
              <w:bottom w:val="single" w:color="auto" w:sz="4" w:space="0"/>
              <w:right w:val="single" w:color="auto" w:sz="4" w:space="0"/>
            </w:tcBorders>
          </w:tcPr>
          <w:p w14:paraId="368395B4">
            <w:pPr>
              <w:spacing w:line="360" w:lineRule="auto"/>
              <w:rPr>
                <w:b w:val="0"/>
                <w:bCs w:val="0"/>
              </w:rPr>
            </w:pPr>
            <w:r>
              <w:rPr>
                <w:rFonts w:hint="eastAsia"/>
                <w:b w:val="0"/>
                <w:bCs w:val="0"/>
              </w:rPr>
              <w:t>监控平台支持设备硬件模块故障、耗材检测功能，提供相关系统界面截图；</w:t>
            </w:r>
          </w:p>
        </w:tc>
      </w:tr>
      <w:tr w14:paraId="361E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dxa"/>
            <w:tcBorders>
              <w:top w:val="single" w:color="auto" w:sz="4" w:space="0"/>
              <w:left w:val="single" w:color="auto" w:sz="4" w:space="0"/>
              <w:bottom w:val="single" w:color="auto" w:sz="4" w:space="0"/>
              <w:right w:val="single" w:color="auto" w:sz="4" w:space="0"/>
            </w:tcBorders>
            <w:vAlign w:val="center"/>
          </w:tcPr>
          <w:p w14:paraId="2402FFCD">
            <w:pPr>
              <w:spacing w:line="360" w:lineRule="auto"/>
            </w:pPr>
            <w:r>
              <w:rPr>
                <w:rFonts w:hint="eastAsia"/>
              </w:rPr>
              <w:t>院内系统无缝兼容</w:t>
            </w:r>
          </w:p>
        </w:tc>
        <w:tc>
          <w:tcPr>
            <w:tcW w:w="7375" w:type="dxa"/>
            <w:tcBorders>
              <w:top w:val="single" w:color="auto" w:sz="4" w:space="0"/>
              <w:left w:val="single" w:color="auto" w:sz="4" w:space="0"/>
              <w:bottom w:val="single" w:color="auto" w:sz="4" w:space="0"/>
              <w:right w:val="single" w:color="auto" w:sz="4" w:space="0"/>
            </w:tcBorders>
          </w:tcPr>
          <w:p w14:paraId="0E112C7A">
            <w:pPr>
              <w:spacing w:line="360" w:lineRule="auto"/>
              <w:rPr>
                <w:b w:val="0"/>
                <w:bCs w:val="0"/>
              </w:rPr>
            </w:pPr>
            <w:r>
              <w:rPr>
                <w:rFonts w:hint="eastAsia"/>
                <w:b w:val="0"/>
                <w:bCs w:val="0"/>
              </w:rPr>
              <w:t>具备医院现有HIS厂商接口授权及系统适配证明；</w:t>
            </w:r>
          </w:p>
        </w:tc>
      </w:tr>
    </w:tbl>
    <w:p w14:paraId="557798D4">
      <w:pPr>
        <w:sectPr>
          <w:footerReference r:id="rId3" w:type="default"/>
          <w:pgSz w:w="11906" w:h="16838"/>
          <w:pgMar w:top="1440" w:right="1800" w:bottom="1440" w:left="1800" w:header="851" w:footer="992" w:gutter="0"/>
          <w:pgNumType w:fmt="numberInDash"/>
          <w:cols w:space="425" w:num="1"/>
          <w:docGrid w:type="lines" w:linePitch="312" w:charSpace="0"/>
        </w:sectPr>
      </w:pPr>
      <w:bookmarkStart w:id="0" w:name="_GoBack"/>
      <w:bookmarkEnd w:id="0"/>
    </w:p>
    <w:p w14:paraId="60EC5F08">
      <w:pPr>
        <w:pStyle w:val="10"/>
      </w:pP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CE1A6">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7E94C">
                          <w:pPr>
                            <w:pStyle w:val="8"/>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87E94C">
                    <w:pPr>
                      <w:pStyle w:val="8"/>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7854B1"/>
    <w:multiLevelType w:val="multilevel"/>
    <w:tmpl w:val="E57854B1"/>
    <w:lvl w:ilvl="0" w:tentative="0">
      <w:start w:val="1"/>
      <w:numFmt w:val="chineseCounting"/>
      <w:pStyle w:val="3"/>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00000012"/>
    <w:multiLevelType w:val="multilevel"/>
    <w:tmpl w:val="00000012"/>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2177"/>
        </w:tabs>
        <w:ind w:left="2177" w:hanging="737"/>
      </w:pPr>
      <w:rPr>
        <w:rFonts w:hint="default" w:ascii="Times New Roman" w:hAnsi="Times New Roman"/>
        <w:b/>
        <w:i w:val="0"/>
        <w:sz w:val="24"/>
      </w:rPr>
    </w:lvl>
    <w:lvl w:ilvl="3" w:tentative="0">
      <w:start w:val="1"/>
      <w:numFmt w:val="decimal"/>
      <w:lvlText w:val="%1.%2.%3.%4"/>
      <w:lvlJc w:val="left"/>
      <w:pPr>
        <w:tabs>
          <w:tab w:val="left" w:pos="2518"/>
        </w:tabs>
        <w:ind w:left="2518"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97590F"/>
    <w:rsid w:val="064B1840"/>
    <w:rsid w:val="0E673CAF"/>
    <w:rsid w:val="0F97590F"/>
    <w:rsid w:val="138228A6"/>
    <w:rsid w:val="161D70FC"/>
    <w:rsid w:val="17082D81"/>
    <w:rsid w:val="1783055D"/>
    <w:rsid w:val="2D3A2FA7"/>
    <w:rsid w:val="37320A5D"/>
    <w:rsid w:val="44C41866"/>
    <w:rsid w:val="77216A0C"/>
    <w:rsid w:val="7DB40C9E"/>
    <w:rsid w:val="7FB60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6" w:lineRule="auto"/>
      <w:jc w:val="center"/>
      <w:outlineLvl w:val="0"/>
    </w:pPr>
    <w:rPr>
      <w:rFonts w:ascii="Times New Roman" w:hAnsi="Times New Roman" w:eastAsia="宋体" w:cs="Times New Roman"/>
      <w:b/>
      <w:kern w:val="44"/>
      <w:sz w:val="32"/>
    </w:rPr>
  </w:style>
  <w:style w:type="paragraph" w:styleId="4">
    <w:name w:val="heading 2"/>
    <w:basedOn w:val="1"/>
    <w:next w:val="1"/>
    <w:qFormat/>
    <w:uiPriority w:val="0"/>
    <w:pPr>
      <w:keepNext/>
      <w:numPr>
        <w:ilvl w:val="1"/>
        <w:numId w:val="2"/>
      </w:numPr>
      <w:spacing w:before="120" w:line="360" w:lineRule="auto"/>
      <w:textAlignment w:val="baseline"/>
      <w:outlineLvl w:val="1"/>
    </w:pPr>
    <w:rPr>
      <w:rFonts w:eastAsia="黑体"/>
      <w:b/>
      <w:sz w:val="28"/>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5">
    <w:name w:val="Body Text"/>
    <w:basedOn w:val="1"/>
    <w:next w:val="1"/>
    <w:qFormat/>
    <w:uiPriority w:val="0"/>
    <w:pPr>
      <w:spacing w:after="120"/>
    </w:pPr>
  </w:style>
  <w:style w:type="paragraph" w:styleId="6">
    <w:name w:val="Body Text Indent"/>
    <w:basedOn w:val="1"/>
    <w:qFormat/>
    <w:uiPriority w:val="0"/>
    <w:pPr>
      <w:spacing w:after="120"/>
      <w:ind w:left="420" w:leftChars="200"/>
    </w:pPr>
  </w:style>
  <w:style w:type="paragraph" w:styleId="7">
    <w:name w:val="Plain Text"/>
    <w:basedOn w:val="1"/>
    <w:next w:val="1"/>
    <w:qFormat/>
    <w:uiPriority w:val="0"/>
    <w:rPr>
      <w:rFonts w:ascii="宋体"/>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next w:val="5"/>
    <w:unhideWhenUsed/>
    <w:qFormat/>
    <w:uiPriority w:val="99"/>
    <w:pPr>
      <w:spacing w:after="120" w:line="480" w:lineRule="auto"/>
    </w:pPr>
    <w:rPr>
      <w:rFonts w:ascii="Times New Roman" w:hAnsi="Times New Roman"/>
      <w:szCs w:val="24"/>
    </w:rPr>
  </w:style>
  <w:style w:type="paragraph" w:styleId="11">
    <w:name w:val="Body Text First Indent 2"/>
    <w:basedOn w:val="6"/>
    <w:qFormat/>
    <w:uiPriority w:val="0"/>
    <w:pPr>
      <w:ind w:firstLine="420" w:firstLineChars="200"/>
    </w:pPr>
  </w:style>
  <w:style w:type="paragraph" w:customStyle="1" w:styleId="14">
    <w:name w:val="Table Paragraph"/>
    <w:basedOn w:val="1"/>
    <w:unhideWhenUsed/>
    <w:qFormat/>
    <w:uiPriority w:val="1"/>
    <w:pPr>
      <w:spacing w:beforeLines="0" w:afterLines="0"/>
    </w:pPr>
    <w:rPr>
      <w:rFonts w:hint="eastAsia"/>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曲靖市马龙县党政机关单位</Company>
  <Pages>6</Pages>
  <Words>3245</Words>
  <Characters>3275</Characters>
  <Lines>0</Lines>
  <Paragraphs>0</Paragraphs>
  <TotalTime>25</TotalTime>
  <ScaleCrop>false</ScaleCrop>
  <LinksUpToDate>false</LinksUpToDate>
  <CharactersWithSpaces>3275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2025-05-16T07:00:00Z</dcterms:created>
  <dc:creator>Administrator</dc:creator>
  <cp:lastModifiedBy>杨政瑞</cp:lastModifiedBy>
  <dcterms:modified xsi:type="dcterms:W3CDTF">2025-08-25T09:28:24Z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85A141F9E81F414BA99D5A1F05CA5F59_13</vt:lpwstr>
  </property>
  <property fmtid="{D5CDD505-2E9C-101B-9397-08002B2CF9AE}" pid="4" name="KSOTemplateDocerSaveRecord">
    <vt:lpwstr>eyJoZGlkIjoiOTcxYTViZTY1OWJlY2UxMDQ0NWJjZGUwODUxNjVjODUiLCJ1c2VySWQiOiIxNDU1OTE3NDg2In0=</vt:lpwstr>
  </property>
</Properties>
</file>